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B9561A">
        <w:rPr>
          <w:rStyle w:val="af9"/>
          <w:rFonts w:ascii="Arial" w:eastAsia="宋体" w:hAnsi="Arial" w:cs="Arial" w:hint="eastAsia"/>
        </w:rPr>
        <w:t>5</w:t>
      </w:r>
      <w:r w:rsidRPr="00EA74C3">
        <w:rPr>
          <w:rStyle w:val="af9"/>
          <w:rFonts w:ascii="Arial" w:eastAsia="宋体" w:hAnsi="Arial" w:cs="Arial" w:hint="eastAsia"/>
        </w:rPr>
        <w:tab/>
      </w:r>
      <w:r w:rsidR="00D90879" w:rsidRPr="00D90879">
        <w:rPr>
          <w:rStyle w:val="af9"/>
          <w:rFonts w:ascii="Arial" w:eastAsia="宋体" w:hAnsi="Arial" w:cs="Arial"/>
        </w:rPr>
        <w:t>R4-2218426</w:t>
      </w:r>
    </w:p>
    <w:p w:rsidR="00C02493" w:rsidRPr="005A1E2B" w:rsidRDefault="00B9561A" w:rsidP="00C02493">
      <w:pPr>
        <w:tabs>
          <w:tab w:val="left" w:pos="8400"/>
        </w:tabs>
        <w:overflowPunct/>
        <w:autoSpaceDE/>
        <w:autoSpaceDN/>
        <w:adjustRightInd/>
        <w:spacing w:before="0" w:afterLines="20" w:after="48"/>
        <w:textAlignment w:val="auto"/>
        <w:rPr>
          <w:rStyle w:val="af9"/>
          <w:rFonts w:ascii="Arial" w:eastAsia="宋体" w:hAnsi="Arial" w:cs="Arial"/>
        </w:rPr>
      </w:pPr>
      <w:r w:rsidRPr="00B9561A">
        <w:rPr>
          <w:rStyle w:val="af9"/>
          <w:rFonts w:ascii="Arial" w:eastAsia="宋体" w:hAnsi="Arial" w:cs="Arial"/>
        </w:rPr>
        <w:t>Toulouse, France, November 14 –18,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A252B" w:rsidRPr="001A252B">
        <w:rPr>
          <w:rFonts w:ascii="Arial" w:hAnsi="Arial" w:cs="Arial"/>
          <w:b w:val="0"/>
        </w:rPr>
        <w:t xml:space="preserve">Discussion on </w:t>
      </w:r>
      <w:r w:rsidR="00EE7B7A">
        <w:rPr>
          <w:rFonts w:ascii="Arial" w:hAnsi="Arial" w:cs="Arial" w:hint="eastAsia"/>
          <w:b w:val="0"/>
        </w:rPr>
        <w:t xml:space="preserve">remaining </w:t>
      </w:r>
      <w:r w:rsidR="00EE7B7A">
        <w:rPr>
          <w:rFonts w:ascii="Arial" w:hAnsi="Arial" w:cs="Arial"/>
          <w:b w:val="0"/>
        </w:rPr>
        <w:t>issues</w:t>
      </w:r>
      <w:r w:rsidR="00EE7B7A">
        <w:rPr>
          <w:rFonts w:ascii="Arial" w:hAnsi="Arial" w:cs="Arial" w:hint="eastAsia"/>
          <w:b w:val="0"/>
        </w:rPr>
        <w:t xml:space="preserve"> </w:t>
      </w:r>
      <w:r w:rsidR="00706E4E">
        <w:rPr>
          <w:rFonts w:ascii="Arial" w:hAnsi="Arial" w:cs="Arial" w:hint="eastAsia"/>
          <w:b w:val="0"/>
        </w:rPr>
        <w:t xml:space="preserve">of core requirements </w:t>
      </w:r>
      <w:r w:rsidR="00EE7B7A">
        <w:rPr>
          <w:rFonts w:ascii="Arial" w:hAnsi="Arial" w:cs="Arial" w:hint="eastAsia"/>
          <w:b w:val="0"/>
        </w:rPr>
        <w:t>for NTN RRM</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06E4E">
        <w:rPr>
          <w:rFonts w:ascii="Arial" w:hAnsi="Arial" w:cs="Arial" w:hint="eastAsia"/>
          <w:b w:val="0"/>
        </w:rPr>
        <w:t>6</w:t>
      </w:r>
      <w:r w:rsidR="00B9561A">
        <w:rPr>
          <w:rFonts w:ascii="Arial" w:hAnsi="Arial" w:cs="Arial" w:hint="eastAsia"/>
          <w:b w:val="0"/>
        </w:rPr>
        <w:t>.</w:t>
      </w:r>
      <w:r w:rsidR="00706E4E">
        <w:rPr>
          <w:rFonts w:ascii="Arial" w:hAnsi="Arial" w:cs="Arial" w:hint="eastAsia"/>
          <w:b w:val="0"/>
        </w:rPr>
        <w:t>2.4.1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246DF8">
        <w:rPr>
          <w:rFonts w:hint="eastAsia"/>
          <w:sz w:val="20"/>
        </w:rPr>
        <w:t>4</w:t>
      </w:r>
      <w:r w:rsidR="001A252B">
        <w:rPr>
          <w:rFonts w:hint="eastAsia"/>
          <w:sz w:val="20"/>
        </w:rPr>
        <w:t>bis</w:t>
      </w:r>
      <w:r w:rsidR="004E387A">
        <w:rPr>
          <w:rFonts w:hint="eastAsia"/>
          <w:sz w:val="20"/>
        </w:rPr>
        <w:t>-</w:t>
      </w:r>
      <w:r w:rsidR="001E1399">
        <w:rPr>
          <w:rFonts w:hint="eastAsia"/>
          <w:sz w:val="20"/>
        </w:rPr>
        <w:t xml:space="preserve">e </w:t>
      </w:r>
      <w:r>
        <w:rPr>
          <w:rFonts w:hint="eastAsia"/>
          <w:sz w:val="20"/>
        </w:rPr>
        <w:t xml:space="preserve">meeting, </w:t>
      </w:r>
      <w:r w:rsidR="00706E4E">
        <w:rPr>
          <w:rFonts w:hint="eastAsia"/>
          <w:sz w:val="20"/>
        </w:rPr>
        <w:t>a</w:t>
      </w:r>
      <w:r w:rsidR="00281D4A">
        <w:rPr>
          <w:rFonts w:hint="eastAsia"/>
          <w:sz w:val="20"/>
        </w:rPr>
        <w:t xml:space="preserve"> way forward </w:t>
      </w:r>
      <w:r w:rsidR="001A252B">
        <w:rPr>
          <w:rFonts w:hint="eastAsia"/>
          <w:sz w:val="20"/>
        </w:rPr>
        <w:t>on</w:t>
      </w:r>
      <w:r w:rsidR="00281D4A">
        <w:rPr>
          <w:rFonts w:hint="eastAsia"/>
          <w:sz w:val="20"/>
        </w:rPr>
        <w:t xml:space="preserve"> </w:t>
      </w:r>
      <w:r w:rsidR="001A252B" w:rsidRPr="001A252B">
        <w:rPr>
          <w:sz w:val="20"/>
        </w:rPr>
        <w:t>NR NTN RRM</w:t>
      </w:r>
      <w:r w:rsidR="00281D4A">
        <w:rPr>
          <w:rFonts w:hint="eastAsia"/>
          <w:sz w:val="20"/>
        </w:rPr>
        <w:t xml:space="preserve"> w</w:t>
      </w:r>
      <w:r w:rsidR="00C24C5D">
        <w:rPr>
          <w:rFonts w:hint="eastAsia"/>
          <w:sz w:val="20"/>
        </w:rPr>
        <w:t>ere</w:t>
      </w:r>
      <w:r w:rsidR="00281D4A">
        <w:rPr>
          <w:rFonts w:hint="eastAsia"/>
          <w:sz w:val="20"/>
        </w:rPr>
        <w:t xml:space="preserve"> approved [1], and some remaining issues </w:t>
      </w:r>
      <w:r w:rsidR="00C24C5D">
        <w:rPr>
          <w:rFonts w:hint="eastAsia"/>
          <w:sz w:val="20"/>
        </w:rPr>
        <w:t xml:space="preserve">for core requirements </w:t>
      </w:r>
      <w:r w:rsidR="00246DF8">
        <w:rPr>
          <w:rFonts w:hint="eastAsia"/>
          <w:sz w:val="20"/>
        </w:rPr>
        <w:t xml:space="preserve">need </w:t>
      </w:r>
      <w:r w:rsidR="000B69F6">
        <w:rPr>
          <w:rFonts w:hint="eastAsia"/>
          <w:sz w:val="20"/>
        </w:rPr>
        <w:t xml:space="preserve">to be </w:t>
      </w:r>
      <w:r w:rsidR="00246DF8">
        <w:rPr>
          <w:rFonts w:hint="eastAsia"/>
          <w:sz w:val="20"/>
        </w:rPr>
        <w:t>further</w:t>
      </w:r>
      <w:r w:rsidR="00281D4A">
        <w:rPr>
          <w:rFonts w:hint="eastAsia"/>
          <w:sz w:val="20"/>
        </w:rPr>
        <w:t xml:space="preserve"> discussed and decided.</w:t>
      </w:r>
    </w:p>
    <w:p w:rsidR="00281D4A" w:rsidRPr="00E01C69" w:rsidRDefault="00281D4A" w:rsidP="00281D4A">
      <w:pPr>
        <w:spacing w:before="0" w:after="120"/>
        <w:jc w:val="left"/>
        <w:rPr>
          <w:sz w:val="20"/>
        </w:rPr>
      </w:pPr>
      <w:r>
        <w:rPr>
          <w:sz w:val="20"/>
        </w:rPr>
        <w:t>T</w:t>
      </w:r>
      <w:r>
        <w:rPr>
          <w:rFonts w:hint="eastAsia"/>
          <w:sz w:val="20"/>
        </w:rPr>
        <w:t>his document will further discuss these issues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2" w:name="OLE_LINK113"/>
      <w:bookmarkStart w:id="3" w:name="OLE_LINK114"/>
      <w:r>
        <w:rPr>
          <w:sz w:val="20"/>
        </w:rPr>
        <w:t>T</w:t>
      </w:r>
      <w:r>
        <w:rPr>
          <w:rFonts w:hint="eastAsia"/>
          <w:sz w:val="20"/>
        </w:rPr>
        <w:t>he following issues</w:t>
      </w:r>
      <w:r w:rsidR="00C24C5D">
        <w:rPr>
          <w:rFonts w:hint="eastAsia"/>
          <w:sz w:val="20"/>
        </w:rPr>
        <w:t xml:space="preserve"> for core requirements</w:t>
      </w:r>
      <w:r>
        <w:rPr>
          <w:rFonts w:hint="eastAsia"/>
          <w:sz w:val="20"/>
        </w:rPr>
        <w:t xml:space="preserve"> should be discussed and decided further.</w:t>
      </w:r>
    </w:p>
    <w:p w:rsidR="004C099D" w:rsidRPr="00C24C5D" w:rsidRDefault="004C099D" w:rsidP="004C099D">
      <w:pPr>
        <w:snapToGrid w:val="0"/>
        <w:spacing w:beforeLines="50" w:before="120" w:afterLines="20" w:after="48"/>
        <w:rPr>
          <w:sz w:val="18"/>
          <w:u w:val="single"/>
          <w:lang w:eastAsia="ko-KR"/>
        </w:rPr>
      </w:pPr>
      <w:r w:rsidRPr="00C24C5D">
        <w:rPr>
          <w:b/>
          <w:sz w:val="18"/>
          <w:u w:val="single"/>
          <w:lang w:eastAsia="ko-KR"/>
        </w:rPr>
        <w:t>Issue 7:</w:t>
      </w:r>
      <w:r w:rsidRPr="00C24C5D">
        <w:rPr>
          <w:sz w:val="18"/>
          <w:u w:val="single"/>
          <w:lang w:eastAsia="ko-KR"/>
        </w:rPr>
        <w:t xml:space="preserve"> Configuration of HO aspects for HO TC</w:t>
      </w:r>
    </w:p>
    <w:p w:rsidR="004C099D" w:rsidRPr="00C24C5D" w:rsidRDefault="004C099D" w:rsidP="004C099D">
      <w:pPr>
        <w:ind w:firstLine="284"/>
        <w:rPr>
          <w:bCs/>
          <w:sz w:val="18"/>
          <w:u w:val="single"/>
          <w:lang w:eastAsia="ja-JP"/>
        </w:rPr>
      </w:pPr>
      <w:r w:rsidRPr="00C24C5D">
        <w:rPr>
          <w:bCs/>
          <w:sz w:val="18"/>
          <w:u w:val="single"/>
          <w:lang w:eastAsia="ja-JP"/>
        </w:rPr>
        <w:t>Agreement</w:t>
      </w:r>
    </w:p>
    <w:p w:rsidR="004C099D" w:rsidRPr="00C24C5D" w:rsidRDefault="004C099D" w:rsidP="004C099D">
      <w:pPr>
        <w:pStyle w:val="afa"/>
        <w:widowControl/>
        <w:numPr>
          <w:ilvl w:val="0"/>
          <w:numId w:val="44"/>
        </w:numPr>
        <w:snapToGrid w:val="0"/>
        <w:spacing w:before="0" w:line="240" w:lineRule="auto"/>
        <w:ind w:left="624" w:firstLineChars="0" w:hanging="340"/>
        <w:jc w:val="left"/>
        <w:rPr>
          <w:sz w:val="18"/>
          <w:szCs w:val="20"/>
          <w:lang w:eastAsia="ja-JP"/>
        </w:rPr>
      </w:pPr>
      <w:r w:rsidRPr="00C24C5D">
        <w:rPr>
          <w:sz w:val="18"/>
          <w:szCs w:val="20"/>
          <w:lang w:eastAsia="ja-JP"/>
        </w:rPr>
        <w:t>Further discuss and conclude on the following in RAN4#105:</w:t>
      </w:r>
    </w:p>
    <w:p w:rsidR="004C099D" w:rsidRPr="00C24C5D" w:rsidRDefault="004C099D" w:rsidP="004C099D">
      <w:pPr>
        <w:pStyle w:val="afa"/>
        <w:widowControl/>
        <w:numPr>
          <w:ilvl w:val="1"/>
          <w:numId w:val="44"/>
        </w:numPr>
        <w:snapToGrid w:val="0"/>
        <w:spacing w:before="0" w:line="240" w:lineRule="auto"/>
        <w:ind w:left="964" w:firstLineChars="0" w:hanging="340"/>
        <w:jc w:val="left"/>
        <w:rPr>
          <w:sz w:val="18"/>
          <w:szCs w:val="20"/>
        </w:rPr>
      </w:pPr>
      <w:r w:rsidRPr="00C24C5D">
        <w:rPr>
          <w:sz w:val="18"/>
          <w:szCs w:val="20"/>
        </w:rPr>
        <w:t>RAN4 to decide the best way to deal with the additional delay introduced in the CHO procedure for NTN caused by the cases where the UE has to wait for the epoch time to be reached or re-acquire a new ephemeris information.</w:t>
      </w:r>
    </w:p>
    <w:p w:rsidR="004C099D" w:rsidRPr="00C24C5D" w:rsidRDefault="004C099D" w:rsidP="004C099D">
      <w:pPr>
        <w:pStyle w:val="afa"/>
        <w:widowControl/>
        <w:numPr>
          <w:ilvl w:val="1"/>
          <w:numId w:val="44"/>
        </w:numPr>
        <w:snapToGrid w:val="0"/>
        <w:spacing w:before="0" w:line="240" w:lineRule="auto"/>
        <w:ind w:left="964" w:firstLineChars="0" w:hanging="340"/>
        <w:jc w:val="left"/>
        <w:rPr>
          <w:sz w:val="18"/>
          <w:szCs w:val="20"/>
        </w:rPr>
      </w:pPr>
      <w:r w:rsidRPr="00C24C5D">
        <w:rPr>
          <w:sz w:val="18"/>
          <w:szCs w:val="20"/>
        </w:rPr>
        <w:t>If the UE needs to re-acquire ephemeris information, the handover delay requirements and the time interruption requirements must be extended to account for that.</w:t>
      </w:r>
    </w:p>
    <w:p w:rsidR="004C099D" w:rsidRPr="00C24C5D" w:rsidRDefault="004C099D" w:rsidP="004C099D">
      <w:pPr>
        <w:snapToGrid w:val="0"/>
        <w:spacing w:beforeLines="50" w:before="120" w:afterLines="20" w:after="48"/>
        <w:rPr>
          <w:sz w:val="18"/>
          <w:u w:val="single"/>
          <w:lang w:eastAsia="ko-KR"/>
        </w:rPr>
      </w:pPr>
      <w:r w:rsidRPr="00C24C5D">
        <w:rPr>
          <w:b/>
          <w:sz w:val="18"/>
          <w:u w:val="single"/>
          <w:lang w:eastAsia="ko-KR"/>
        </w:rPr>
        <w:t>Issue 8:</w:t>
      </w:r>
      <w:r w:rsidRPr="00C24C5D">
        <w:rPr>
          <w:sz w:val="18"/>
          <w:u w:val="single"/>
          <w:lang w:eastAsia="ko-KR"/>
        </w:rPr>
        <w:t xml:space="preserve"> Configuration of CHO aspects for CHO TC</w:t>
      </w:r>
    </w:p>
    <w:p w:rsidR="004C099D" w:rsidRPr="00C24C5D" w:rsidRDefault="004C099D" w:rsidP="004C099D">
      <w:pPr>
        <w:ind w:firstLine="284"/>
        <w:rPr>
          <w:bCs/>
          <w:sz w:val="18"/>
          <w:u w:val="single"/>
          <w:lang w:eastAsia="ja-JP"/>
        </w:rPr>
      </w:pPr>
      <w:r w:rsidRPr="00C24C5D">
        <w:rPr>
          <w:bCs/>
          <w:sz w:val="18"/>
          <w:u w:val="single"/>
          <w:lang w:eastAsia="ja-JP"/>
        </w:rPr>
        <w:t>Agreement</w:t>
      </w:r>
    </w:p>
    <w:p w:rsidR="004C099D" w:rsidRPr="00C24C5D" w:rsidRDefault="004C099D" w:rsidP="004C099D">
      <w:pPr>
        <w:pStyle w:val="afa"/>
        <w:widowControl/>
        <w:numPr>
          <w:ilvl w:val="0"/>
          <w:numId w:val="44"/>
        </w:numPr>
        <w:snapToGrid w:val="0"/>
        <w:spacing w:before="0" w:line="240" w:lineRule="auto"/>
        <w:ind w:left="624" w:firstLineChars="0" w:hanging="340"/>
        <w:jc w:val="left"/>
        <w:rPr>
          <w:sz w:val="18"/>
          <w:szCs w:val="20"/>
          <w:lang w:eastAsia="ja-JP"/>
        </w:rPr>
      </w:pPr>
      <w:r w:rsidRPr="00C24C5D">
        <w:rPr>
          <w:sz w:val="18"/>
          <w:szCs w:val="20"/>
          <w:lang w:eastAsia="ja-JP"/>
        </w:rPr>
        <w:t>Further discuss and conclude on the following in RAN4#105:</w:t>
      </w:r>
    </w:p>
    <w:p w:rsidR="004C099D" w:rsidRPr="00C24C5D" w:rsidRDefault="004C099D" w:rsidP="004C099D">
      <w:pPr>
        <w:pStyle w:val="afa"/>
        <w:widowControl/>
        <w:numPr>
          <w:ilvl w:val="1"/>
          <w:numId w:val="44"/>
        </w:numPr>
        <w:snapToGrid w:val="0"/>
        <w:spacing w:before="0" w:line="240" w:lineRule="auto"/>
        <w:ind w:left="964" w:firstLineChars="0" w:hanging="340"/>
        <w:jc w:val="left"/>
        <w:rPr>
          <w:sz w:val="18"/>
          <w:szCs w:val="20"/>
        </w:rPr>
      </w:pPr>
      <w:r w:rsidRPr="00C24C5D">
        <w:rPr>
          <w:sz w:val="18"/>
          <w:szCs w:val="20"/>
        </w:rPr>
        <w:t>RAN4 to decide the best way to deal with the additional delay introduced in the CHO procedure for NTN caused by the cases where the UE has to wait for the epoch time to be reached or re-acquire a new ephemeris information.</w:t>
      </w:r>
    </w:p>
    <w:p w:rsidR="004C099D" w:rsidRPr="00C24C5D" w:rsidRDefault="004C099D" w:rsidP="004C099D">
      <w:pPr>
        <w:pStyle w:val="afa"/>
        <w:widowControl/>
        <w:numPr>
          <w:ilvl w:val="1"/>
          <w:numId w:val="44"/>
        </w:numPr>
        <w:snapToGrid w:val="0"/>
        <w:spacing w:before="0" w:line="240" w:lineRule="auto"/>
        <w:ind w:left="964" w:firstLineChars="0" w:hanging="340"/>
        <w:jc w:val="left"/>
        <w:rPr>
          <w:sz w:val="18"/>
          <w:szCs w:val="20"/>
        </w:rPr>
      </w:pPr>
      <w:r w:rsidRPr="00C24C5D">
        <w:rPr>
          <w:sz w:val="18"/>
          <w:szCs w:val="20"/>
        </w:rPr>
        <w:t>If the UE needs to re-acquire ephemeris information, the handover delay requirements and the time interruption requirements must be extended to account for that.</w:t>
      </w:r>
    </w:p>
    <w:p w:rsidR="004C099D" w:rsidRDefault="00C24C5D" w:rsidP="00C24C5D">
      <w:pPr>
        <w:spacing w:beforeLines="50" w:before="120" w:after="120"/>
        <w:jc w:val="left"/>
        <w:rPr>
          <w:sz w:val="20"/>
        </w:rPr>
      </w:pPr>
      <w:r>
        <w:rPr>
          <w:sz w:val="20"/>
        </w:rPr>
        <w:t>T</w:t>
      </w:r>
      <w:r>
        <w:rPr>
          <w:rFonts w:hint="eastAsia"/>
          <w:sz w:val="20"/>
        </w:rPr>
        <w:t xml:space="preserve">hese two issues are same. </w:t>
      </w:r>
      <w:r w:rsidR="00706E4E">
        <w:rPr>
          <w:sz w:val="20"/>
        </w:rPr>
        <w:t>B</w:t>
      </w:r>
      <w:r w:rsidR="00706E4E">
        <w:rPr>
          <w:rFonts w:hint="eastAsia"/>
          <w:sz w:val="20"/>
        </w:rPr>
        <w:t>y our understanding, t</w:t>
      </w:r>
      <w:r>
        <w:rPr>
          <w:rFonts w:hint="eastAsia"/>
          <w:sz w:val="20"/>
        </w:rPr>
        <w:t xml:space="preserve">he NTN network </w:t>
      </w:r>
      <w:r w:rsidR="002E08EB">
        <w:rPr>
          <w:rFonts w:hint="eastAsia"/>
          <w:sz w:val="20"/>
        </w:rPr>
        <w:t xml:space="preserve">should update system information </w:t>
      </w:r>
      <w:r w:rsidR="002E08EB">
        <w:rPr>
          <w:sz w:val="20"/>
        </w:rPr>
        <w:t>periodically</w:t>
      </w:r>
      <w:r w:rsidR="00DE1EA0">
        <w:rPr>
          <w:rFonts w:hint="eastAsia"/>
          <w:sz w:val="20"/>
        </w:rPr>
        <w:t xml:space="preserve"> and valid </w:t>
      </w:r>
      <w:r w:rsidR="00DE1EA0" w:rsidRPr="00DE1EA0">
        <w:rPr>
          <w:sz w:val="20"/>
        </w:rPr>
        <w:t>ephemeris</w:t>
      </w:r>
      <w:r w:rsidR="00DE1EA0">
        <w:rPr>
          <w:rFonts w:hint="eastAsia"/>
          <w:sz w:val="20"/>
        </w:rPr>
        <w:t xml:space="preserve"> information should be </w:t>
      </w:r>
      <w:r w:rsidR="00DE1EA0">
        <w:rPr>
          <w:sz w:val="20"/>
        </w:rPr>
        <w:t>always</w:t>
      </w:r>
      <w:r w:rsidR="00DE1EA0">
        <w:rPr>
          <w:rFonts w:hint="eastAsia"/>
          <w:sz w:val="20"/>
        </w:rPr>
        <w:t xml:space="preserve"> available for UE measurement. </w:t>
      </w:r>
      <w:r w:rsidR="00706E4E">
        <w:rPr>
          <w:rFonts w:hint="eastAsia"/>
          <w:sz w:val="20"/>
        </w:rPr>
        <w:t>I</w:t>
      </w:r>
      <w:r w:rsidR="00773B1A">
        <w:rPr>
          <w:rFonts w:hint="eastAsia"/>
          <w:sz w:val="20"/>
        </w:rPr>
        <w:t xml:space="preserve">t should be corner case that old </w:t>
      </w:r>
      <w:r w:rsidR="00773B1A" w:rsidRPr="00DE1EA0">
        <w:rPr>
          <w:sz w:val="20"/>
        </w:rPr>
        <w:t>ephemeris</w:t>
      </w:r>
      <w:r w:rsidR="00773B1A">
        <w:rPr>
          <w:rFonts w:hint="eastAsia"/>
          <w:sz w:val="20"/>
        </w:rPr>
        <w:t xml:space="preserve"> information </w:t>
      </w:r>
      <w:r w:rsidR="002C5355">
        <w:rPr>
          <w:rFonts w:hint="eastAsia"/>
          <w:sz w:val="20"/>
        </w:rPr>
        <w:t>lose</w:t>
      </w:r>
      <w:r w:rsidR="00773B1A">
        <w:rPr>
          <w:rFonts w:hint="eastAsia"/>
          <w:sz w:val="20"/>
        </w:rPr>
        <w:t xml:space="preserve"> </w:t>
      </w:r>
      <w:r w:rsidR="00773B1A" w:rsidRPr="00773B1A">
        <w:rPr>
          <w:sz w:val="20"/>
        </w:rPr>
        <w:t>efficacy</w:t>
      </w:r>
      <w:r w:rsidR="00773B1A">
        <w:rPr>
          <w:rFonts w:hint="eastAsia"/>
          <w:sz w:val="20"/>
        </w:rPr>
        <w:t xml:space="preserve"> and new old </w:t>
      </w:r>
      <w:r w:rsidR="00773B1A" w:rsidRPr="00DE1EA0">
        <w:rPr>
          <w:sz w:val="20"/>
        </w:rPr>
        <w:t>ephemeris</w:t>
      </w:r>
      <w:r w:rsidR="00773B1A">
        <w:rPr>
          <w:rFonts w:hint="eastAsia"/>
          <w:sz w:val="20"/>
        </w:rPr>
        <w:t xml:space="preserve"> information have not </w:t>
      </w:r>
      <w:r w:rsidR="0054115C">
        <w:rPr>
          <w:rFonts w:hint="eastAsia"/>
          <w:sz w:val="20"/>
        </w:rPr>
        <w:t xml:space="preserve">been </w:t>
      </w:r>
      <w:r w:rsidR="00A91A27">
        <w:rPr>
          <w:rFonts w:hint="eastAsia"/>
          <w:sz w:val="20"/>
        </w:rPr>
        <w:t>acquired during UE starting</w:t>
      </w:r>
      <w:r w:rsidR="00773B1A">
        <w:rPr>
          <w:rFonts w:hint="eastAsia"/>
          <w:sz w:val="20"/>
        </w:rPr>
        <w:t xml:space="preserve"> carry out </w:t>
      </w:r>
      <w:r w:rsidR="00773B1A">
        <w:rPr>
          <w:sz w:val="20"/>
        </w:rPr>
        <w:t>handover</w:t>
      </w:r>
      <w:r w:rsidR="00773B1A">
        <w:rPr>
          <w:rFonts w:hint="eastAsia"/>
          <w:sz w:val="20"/>
        </w:rPr>
        <w:t xml:space="preserve"> process. </w:t>
      </w:r>
      <w:r w:rsidR="000964D2">
        <w:rPr>
          <w:sz w:val="20"/>
        </w:rPr>
        <w:t>O</w:t>
      </w:r>
      <w:r w:rsidR="000964D2">
        <w:rPr>
          <w:rFonts w:hint="eastAsia"/>
          <w:sz w:val="20"/>
        </w:rPr>
        <w:t xml:space="preserve">n the other hand, the valid </w:t>
      </w:r>
      <w:r w:rsidR="000964D2" w:rsidRPr="00DE1EA0">
        <w:rPr>
          <w:sz w:val="20"/>
        </w:rPr>
        <w:t>ephemeris</w:t>
      </w:r>
      <w:r w:rsidR="000964D2">
        <w:rPr>
          <w:rFonts w:hint="eastAsia"/>
          <w:sz w:val="20"/>
        </w:rPr>
        <w:t xml:space="preserve"> information of target cell can be transmit</w:t>
      </w:r>
      <w:r w:rsidR="00124EBA">
        <w:rPr>
          <w:rFonts w:hint="eastAsia"/>
          <w:sz w:val="20"/>
        </w:rPr>
        <w:t>ted</w:t>
      </w:r>
      <w:r w:rsidR="00C852A0">
        <w:rPr>
          <w:rFonts w:hint="eastAsia"/>
          <w:sz w:val="20"/>
        </w:rPr>
        <w:t xml:space="preserve"> to UE with handover comma</w:t>
      </w:r>
      <w:r w:rsidR="000964D2">
        <w:rPr>
          <w:rFonts w:hint="eastAsia"/>
          <w:sz w:val="20"/>
        </w:rPr>
        <w:t>nd by the origin</w:t>
      </w:r>
      <w:r w:rsidR="00C852A0">
        <w:rPr>
          <w:rFonts w:hint="eastAsia"/>
          <w:sz w:val="20"/>
        </w:rPr>
        <w:t>al</w:t>
      </w:r>
      <w:r w:rsidR="000964D2">
        <w:rPr>
          <w:rFonts w:hint="eastAsia"/>
          <w:sz w:val="20"/>
        </w:rPr>
        <w:t xml:space="preserve"> cell. So it is not </w:t>
      </w:r>
      <w:r w:rsidR="000964D2">
        <w:rPr>
          <w:sz w:val="20"/>
        </w:rPr>
        <w:t>necessary</w:t>
      </w:r>
      <w:r w:rsidR="000964D2">
        <w:rPr>
          <w:rFonts w:hint="eastAsia"/>
          <w:sz w:val="20"/>
        </w:rPr>
        <w:t xml:space="preserve"> that t</w:t>
      </w:r>
      <w:r w:rsidR="00773B1A">
        <w:rPr>
          <w:rFonts w:hint="eastAsia"/>
          <w:sz w:val="20"/>
        </w:rPr>
        <w:t>he requirements for handover and conditional handover includ</w:t>
      </w:r>
      <w:r w:rsidR="000964D2">
        <w:rPr>
          <w:rFonts w:hint="eastAsia"/>
          <w:sz w:val="20"/>
        </w:rPr>
        <w:t>ing</w:t>
      </w:r>
      <w:r w:rsidR="00773B1A">
        <w:rPr>
          <w:rFonts w:hint="eastAsia"/>
          <w:sz w:val="20"/>
        </w:rPr>
        <w:t xml:space="preserve"> </w:t>
      </w:r>
      <w:r w:rsidR="00CC127F">
        <w:rPr>
          <w:rFonts w:hint="eastAsia"/>
          <w:sz w:val="20"/>
        </w:rPr>
        <w:t>this scenario</w:t>
      </w:r>
      <w:r w:rsidR="000964D2">
        <w:rPr>
          <w:rFonts w:hint="eastAsia"/>
          <w:sz w:val="20"/>
        </w:rPr>
        <w:t xml:space="preserve">. </w:t>
      </w:r>
      <w:r w:rsidR="000964D2">
        <w:rPr>
          <w:sz w:val="20"/>
        </w:rPr>
        <w:t>I</w:t>
      </w:r>
      <w:r w:rsidR="000964D2">
        <w:rPr>
          <w:rFonts w:hint="eastAsia"/>
          <w:sz w:val="20"/>
        </w:rPr>
        <w:t xml:space="preserve">f </w:t>
      </w:r>
      <w:r w:rsidR="00E933D2">
        <w:rPr>
          <w:rFonts w:hint="eastAsia"/>
          <w:sz w:val="20"/>
        </w:rPr>
        <w:t>some companies</w:t>
      </w:r>
      <w:r w:rsidR="00E958ED">
        <w:rPr>
          <w:rFonts w:hint="eastAsia"/>
          <w:sz w:val="20"/>
        </w:rPr>
        <w:t xml:space="preserve"> </w:t>
      </w:r>
      <w:r w:rsidR="000964D2">
        <w:rPr>
          <w:rFonts w:hint="eastAsia"/>
          <w:sz w:val="20"/>
        </w:rPr>
        <w:t>hav</w:t>
      </w:r>
      <w:r w:rsidR="00E933D2">
        <w:rPr>
          <w:rFonts w:hint="eastAsia"/>
          <w:sz w:val="20"/>
        </w:rPr>
        <w:t>e</w:t>
      </w:r>
      <w:r w:rsidR="000964D2">
        <w:rPr>
          <w:rFonts w:hint="eastAsia"/>
          <w:sz w:val="20"/>
        </w:rPr>
        <w:t xml:space="preserve"> concern for </w:t>
      </w:r>
      <w:r w:rsidR="00E958ED">
        <w:rPr>
          <w:rFonts w:hint="eastAsia"/>
          <w:sz w:val="20"/>
        </w:rPr>
        <w:t>this issue</w:t>
      </w:r>
      <w:r w:rsidR="00CC127F">
        <w:rPr>
          <w:rFonts w:hint="eastAsia"/>
          <w:sz w:val="20"/>
        </w:rPr>
        <w:t xml:space="preserve">, </w:t>
      </w:r>
      <w:r w:rsidR="000964D2">
        <w:rPr>
          <w:rFonts w:hint="eastAsia"/>
          <w:sz w:val="20"/>
        </w:rPr>
        <w:t xml:space="preserve">a </w:t>
      </w:r>
      <w:r w:rsidR="00CC127F">
        <w:rPr>
          <w:rFonts w:hint="eastAsia"/>
          <w:sz w:val="20"/>
        </w:rPr>
        <w:t>clarification</w:t>
      </w:r>
      <w:r w:rsidR="000964D2" w:rsidRPr="000964D2">
        <w:rPr>
          <w:rFonts w:hint="eastAsia"/>
          <w:sz w:val="20"/>
        </w:rPr>
        <w:t xml:space="preserve"> </w:t>
      </w:r>
      <w:r w:rsidR="000964D2">
        <w:rPr>
          <w:rFonts w:hint="eastAsia"/>
          <w:sz w:val="20"/>
        </w:rPr>
        <w:t>can be add</w:t>
      </w:r>
      <w:r w:rsidR="00134497">
        <w:rPr>
          <w:rFonts w:hint="eastAsia"/>
          <w:sz w:val="20"/>
        </w:rPr>
        <w:t>ed</w:t>
      </w:r>
      <w:r w:rsidR="00CC127F">
        <w:rPr>
          <w:rFonts w:hint="eastAsia"/>
          <w:sz w:val="20"/>
        </w:rPr>
        <w:t xml:space="preserve"> </w:t>
      </w:r>
      <w:r w:rsidR="000964D2">
        <w:rPr>
          <w:rFonts w:hint="eastAsia"/>
          <w:sz w:val="20"/>
        </w:rPr>
        <w:t xml:space="preserve">in specification </w:t>
      </w:r>
      <w:r w:rsidR="00CC127F">
        <w:rPr>
          <w:rFonts w:hint="eastAsia"/>
          <w:sz w:val="20"/>
        </w:rPr>
        <w:t xml:space="preserve">that </w:t>
      </w:r>
      <w:r w:rsidR="00CC127F">
        <w:rPr>
          <w:sz w:val="20"/>
        </w:rPr>
        <w:t>“</w:t>
      </w:r>
      <w:r w:rsidR="00CC127F" w:rsidRPr="00CC127F">
        <w:rPr>
          <w:sz w:val="20"/>
        </w:rPr>
        <w:t>If the UE needs to re-acquire ephemeris information</w:t>
      </w:r>
      <w:r w:rsidR="00E958ED">
        <w:rPr>
          <w:rFonts w:hint="eastAsia"/>
          <w:sz w:val="20"/>
        </w:rPr>
        <w:t xml:space="preserve"> for target cell</w:t>
      </w:r>
      <w:r w:rsidR="00CC127F">
        <w:rPr>
          <w:rFonts w:hint="eastAsia"/>
          <w:sz w:val="20"/>
        </w:rPr>
        <w:t xml:space="preserve"> during handover process</w:t>
      </w:r>
      <w:r w:rsidR="00CC127F" w:rsidRPr="00CC127F">
        <w:rPr>
          <w:sz w:val="20"/>
        </w:rPr>
        <w:t xml:space="preserve">, the handover delay and the interruption </w:t>
      </w:r>
      <w:r w:rsidR="00CC127F">
        <w:rPr>
          <w:rFonts w:hint="eastAsia"/>
          <w:sz w:val="20"/>
        </w:rPr>
        <w:t>time will</w:t>
      </w:r>
      <w:r w:rsidR="00CC127F" w:rsidRPr="00CC127F">
        <w:rPr>
          <w:sz w:val="20"/>
        </w:rPr>
        <w:t xml:space="preserve"> be extended</w:t>
      </w:r>
      <w:r w:rsidR="00CC127F">
        <w:rPr>
          <w:rFonts w:hint="eastAsia"/>
          <w:sz w:val="20"/>
        </w:rPr>
        <w:t>.</w:t>
      </w:r>
      <w:r w:rsidR="00CC127F">
        <w:rPr>
          <w:sz w:val="20"/>
        </w:rPr>
        <w:t>”</w:t>
      </w:r>
    </w:p>
    <w:p w:rsidR="00C24C5D" w:rsidRPr="00CC127F" w:rsidRDefault="00CC127F" w:rsidP="001606B6">
      <w:pPr>
        <w:spacing w:before="0" w:after="120"/>
        <w:jc w:val="left"/>
        <w:rPr>
          <w:b/>
          <w:sz w:val="20"/>
        </w:rPr>
      </w:pPr>
      <w:r w:rsidRPr="00CC127F">
        <w:rPr>
          <w:rFonts w:hint="eastAsia"/>
          <w:b/>
          <w:sz w:val="20"/>
        </w:rPr>
        <w:t xml:space="preserve">Proposal 1: </w:t>
      </w:r>
      <w:r w:rsidRPr="00CC127F">
        <w:rPr>
          <w:b/>
          <w:sz w:val="20"/>
        </w:rPr>
        <w:t xml:space="preserve">The requirements for handover and conditional handover </w:t>
      </w:r>
      <w:r w:rsidR="00CD6AE3">
        <w:rPr>
          <w:rFonts w:hint="eastAsia"/>
          <w:b/>
          <w:sz w:val="20"/>
        </w:rPr>
        <w:t>do</w:t>
      </w:r>
      <w:r w:rsidR="000964D2">
        <w:rPr>
          <w:rFonts w:hint="eastAsia"/>
          <w:b/>
          <w:sz w:val="20"/>
        </w:rPr>
        <w:t xml:space="preserve"> not need</w:t>
      </w:r>
      <w:r w:rsidR="00D026ED">
        <w:rPr>
          <w:rFonts w:hint="eastAsia"/>
          <w:b/>
          <w:sz w:val="20"/>
        </w:rPr>
        <w:t xml:space="preserve"> to</w:t>
      </w:r>
      <w:r w:rsidR="000964D2">
        <w:rPr>
          <w:rFonts w:hint="eastAsia"/>
          <w:b/>
          <w:sz w:val="20"/>
        </w:rPr>
        <w:t xml:space="preserve"> </w:t>
      </w:r>
      <w:r w:rsidRPr="00CC127F">
        <w:rPr>
          <w:b/>
          <w:sz w:val="20"/>
        </w:rPr>
        <w:t xml:space="preserve">include this scenario, and </w:t>
      </w:r>
      <w:r w:rsidR="00E42F89">
        <w:rPr>
          <w:rFonts w:hint="eastAsia"/>
          <w:b/>
          <w:sz w:val="20"/>
        </w:rPr>
        <w:t xml:space="preserve">the </w:t>
      </w:r>
      <w:r w:rsidRPr="00CC127F">
        <w:rPr>
          <w:b/>
          <w:sz w:val="20"/>
        </w:rPr>
        <w:t xml:space="preserve">clarification </w:t>
      </w:r>
      <w:r w:rsidR="00E42F89">
        <w:rPr>
          <w:rFonts w:hint="eastAsia"/>
          <w:b/>
          <w:sz w:val="20"/>
        </w:rPr>
        <w:t xml:space="preserve">can be added </w:t>
      </w:r>
      <w:r w:rsidRPr="00CC127F">
        <w:rPr>
          <w:b/>
          <w:sz w:val="20"/>
        </w:rPr>
        <w:t>that “If the UE needs to re-acquire ephemeris information</w:t>
      </w:r>
      <w:r w:rsidR="00FA0852" w:rsidRPr="00FA0852">
        <w:rPr>
          <w:b/>
          <w:sz w:val="20"/>
        </w:rPr>
        <w:t xml:space="preserve"> for target cell</w:t>
      </w:r>
      <w:r w:rsidRPr="00CC127F">
        <w:rPr>
          <w:b/>
          <w:sz w:val="20"/>
        </w:rPr>
        <w:t xml:space="preserve"> during handover process, the handover delay and the interruption time will be extended.”</w:t>
      </w:r>
    </w:p>
    <w:p w:rsidR="00E958ED" w:rsidRDefault="00E958ED" w:rsidP="00E958ED">
      <w:pPr>
        <w:spacing w:before="0" w:after="120"/>
        <w:jc w:val="left"/>
        <w:rPr>
          <w:sz w:val="20"/>
        </w:rPr>
      </w:pPr>
      <w:r>
        <w:rPr>
          <w:rFonts w:hint="eastAsia"/>
          <w:sz w:val="20"/>
        </w:rPr>
        <w:t xml:space="preserve">A CR </w:t>
      </w:r>
      <w:r>
        <w:rPr>
          <w:sz w:val="20"/>
        </w:rPr>
        <w:t>corresponding</w:t>
      </w:r>
      <w:r>
        <w:rPr>
          <w:rFonts w:hint="eastAsia"/>
          <w:sz w:val="20"/>
        </w:rPr>
        <w:t xml:space="preserve"> above proposal is presented in other contribution [2] to fix these issues.</w:t>
      </w:r>
    </w:p>
    <w:p w:rsidR="00E958ED" w:rsidRPr="00E958ED" w:rsidRDefault="00E958ED" w:rsidP="001606B6">
      <w:pPr>
        <w:spacing w:before="0" w:after="120"/>
        <w:jc w:val="left"/>
        <w:rPr>
          <w:sz w:val="20"/>
        </w:rPr>
      </w:pPr>
    </w:p>
    <w:p w:rsidR="00E958ED" w:rsidRDefault="000964D2" w:rsidP="001606B6">
      <w:pPr>
        <w:spacing w:before="0" w:after="120"/>
        <w:jc w:val="left"/>
        <w:rPr>
          <w:sz w:val="20"/>
        </w:rPr>
      </w:pPr>
      <w:r>
        <w:rPr>
          <w:sz w:val="20"/>
        </w:rPr>
        <w:t>T</w:t>
      </w:r>
      <w:r>
        <w:rPr>
          <w:rFonts w:hint="eastAsia"/>
          <w:sz w:val="20"/>
        </w:rPr>
        <w:t xml:space="preserve">he other issue is </w:t>
      </w:r>
      <w:r w:rsidR="00936AA0">
        <w:rPr>
          <w:rFonts w:hint="eastAsia"/>
          <w:sz w:val="20"/>
        </w:rPr>
        <w:t xml:space="preserve">the </w:t>
      </w:r>
      <w:r>
        <w:rPr>
          <w:rFonts w:hint="eastAsia"/>
          <w:sz w:val="20"/>
        </w:rPr>
        <w:t xml:space="preserve">RAN2 LS </w:t>
      </w:r>
      <w:r w:rsidR="00E958ED">
        <w:rPr>
          <w:rFonts w:hint="eastAsia"/>
          <w:sz w:val="20"/>
        </w:rPr>
        <w:t xml:space="preserve">[3] to RAN4. </w:t>
      </w:r>
      <w:r w:rsidR="00E958ED">
        <w:rPr>
          <w:sz w:val="20"/>
        </w:rPr>
        <w:t>I</w:t>
      </w:r>
      <w:r w:rsidR="00E958ED">
        <w:rPr>
          <w:rFonts w:hint="eastAsia"/>
          <w:sz w:val="20"/>
        </w:rPr>
        <w:t>t said:</w:t>
      </w:r>
    </w:p>
    <w:p w:rsidR="00E958ED" w:rsidRPr="00E958ED" w:rsidRDefault="00E958ED" w:rsidP="00E958ED">
      <w:pPr>
        <w:snapToGrid w:val="0"/>
        <w:spacing w:before="0" w:afterLines="50" w:after="120"/>
        <w:rPr>
          <w:rFonts w:ascii="Arial" w:hAnsi="Arial" w:cs="Arial"/>
          <w:sz w:val="16"/>
        </w:rPr>
      </w:pPr>
      <w:r w:rsidRPr="00E958ED">
        <w:rPr>
          <w:rFonts w:ascii="Arial" w:hAnsi="Arial" w:cs="Arial"/>
          <w:sz w:val="16"/>
        </w:rPr>
        <w:t xml:space="preserve">On enhanced measurement requirements for LEO, </w:t>
      </w:r>
      <w:r w:rsidRPr="00E958ED">
        <w:rPr>
          <w:rFonts w:ascii="Arial" w:hAnsi="Arial" w:cs="Arial" w:hint="eastAsia"/>
          <w:sz w:val="16"/>
        </w:rPr>
        <w:t>R</w:t>
      </w:r>
      <w:r w:rsidRPr="00E958ED">
        <w:rPr>
          <w:rFonts w:ascii="Arial" w:hAnsi="Arial" w:cs="Arial"/>
          <w:sz w:val="16"/>
        </w:rPr>
        <w:t>AN2 has agreed to introduce new indication in SIB1.</w:t>
      </w:r>
    </w:p>
    <w:p w:rsidR="00E958ED" w:rsidRPr="00E958ED" w:rsidRDefault="00E958ED" w:rsidP="00E958ED">
      <w:pPr>
        <w:snapToGrid w:val="0"/>
        <w:spacing w:before="0" w:afterLines="50" w:after="120"/>
        <w:rPr>
          <w:rFonts w:ascii="Arial" w:hAnsi="Arial" w:cs="Arial"/>
          <w:sz w:val="16"/>
        </w:rPr>
      </w:pPr>
      <w:r w:rsidRPr="00E958ED">
        <w:rPr>
          <w:rFonts w:ascii="Arial" w:hAnsi="Arial" w:cs="Arial"/>
          <w:sz w:val="16"/>
        </w:rPr>
        <w:t xml:space="preserve">On relaxed measurements for GEO, RAN2 has agreed to reuse the existing relaxed measurement configuration in SIB2 (parameter </w:t>
      </w:r>
      <w:r w:rsidRPr="00E958ED">
        <w:rPr>
          <w:rFonts w:ascii="Arial" w:hAnsi="Arial" w:cs="Arial"/>
          <w:i/>
          <w:iCs/>
          <w:sz w:val="16"/>
        </w:rPr>
        <w:t>relaxedMeasurement</w:t>
      </w:r>
      <w:r w:rsidRPr="00E958ED">
        <w:rPr>
          <w:rFonts w:ascii="Arial" w:hAnsi="Arial" w:cs="Arial"/>
          <w:sz w:val="16"/>
        </w:rPr>
        <w:t>). RAN2 understands the relaxed measurements only apply to GSO neighbour cells and can only be configured by GSO serving cell, and kindly asks RAN4 to confirm this understanding.</w:t>
      </w:r>
    </w:p>
    <w:p w:rsidR="00E958ED" w:rsidRPr="00E958ED" w:rsidRDefault="00E958ED" w:rsidP="00E958ED">
      <w:pPr>
        <w:snapToGrid w:val="0"/>
        <w:spacing w:before="0" w:afterLines="50" w:after="120"/>
        <w:rPr>
          <w:rFonts w:ascii="Arial" w:hAnsi="Arial" w:cs="Arial"/>
          <w:sz w:val="16"/>
        </w:rPr>
      </w:pPr>
      <w:r w:rsidRPr="00E958ED">
        <w:rPr>
          <w:rFonts w:ascii="Arial" w:hAnsi="Arial" w:cs="Arial"/>
          <w:sz w:val="16"/>
        </w:rPr>
        <w:lastRenderedPageBreak/>
        <w:t>For both features, the UE capability has been captured in TS 38.306 as optional without capability signalling, in correspondence with feature groups 25-4 and 25-6 of the RAN4 feature list.</w:t>
      </w:r>
    </w:p>
    <w:p w:rsidR="00E958ED" w:rsidRDefault="00FA0852" w:rsidP="001606B6">
      <w:pPr>
        <w:spacing w:before="0" w:after="120"/>
        <w:jc w:val="left"/>
        <w:rPr>
          <w:sz w:val="20"/>
        </w:rPr>
      </w:pPr>
      <w:r>
        <w:rPr>
          <w:sz w:val="20"/>
        </w:rPr>
        <w:t>A</w:t>
      </w:r>
      <w:r>
        <w:rPr>
          <w:rFonts w:hint="eastAsia"/>
          <w:sz w:val="20"/>
        </w:rPr>
        <w:t>nd a</w:t>
      </w:r>
      <w:r w:rsidR="00E958ED">
        <w:rPr>
          <w:sz w:val="20"/>
        </w:rPr>
        <w:t>sk</w:t>
      </w:r>
      <w:r w:rsidR="00E958ED">
        <w:rPr>
          <w:rFonts w:hint="eastAsia"/>
          <w:sz w:val="20"/>
        </w:rPr>
        <w:t>s</w:t>
      </w:r>
      <w:r w:rsidR="00E958ED">
        <w:rPr>
          <w:sz w:val="20"/>
        </w:rPr>
        <w:t xml:space="preserve"> </w:t>
      </w:r>
      <w:r w:rsidR="00E958ED">
        <w:rPr>
          <w:rFonts w:hint="eastAsia"/>
          <w:sz w:val="20"/>
        </w:rPr>
        <w:t xml:space="preserve">RAN4 </w:t>
      </w:r>
      <w:r w:rsidR="00E958ED">
        <w:rPr>
          <w:sz w:val="20"/>
        </w:rPr>
        <w:t>“</w:t>
      </w:r>
      <w:r w:rsidR="00E958ED" w:rsidRPr="00E958ED">
        <w:rPr>
          <w:sz w:val="20"/>
        </w:rPr>
        <w:t>to take the above information into account, and provide feedback if RAN2 understanding is incorrect.</w:t>
      </w:r>
      <w:r w:rsidR="00E958ED">
        <w:rPr>
          <w:sz w:val="20"/>
        </w:rPr>
        <w:t>”</w:t>
      </w:r>
    </w:p>
    <w:p w:rsidR="00E958ED" w:rsidRDefault="00E958ED" w:rsidP="001606B6">
      <w:pPr>
        <w:spacing w:before="0" w:after="120"/>
        <w:jc w:val="left"/>
        <w:rPr>
          <w:sz w:val="20"/>
        </w:rPr>
      </w:pPr>
      <w:r>
        <w:rPr>
          <w:sz w:val="20"/>
        </w:rPr>
        <w:t>W</w:t>
      </w:r>
      <w:r>
        <w:rPr>
          <w:rFonts w:hint="eastAsia"/>
          <w:sz w:val="20"/>
        </w:rPr>
        <w:t xml:space="preserve">e think </w:t>
      </w:r>
      <w:r w:rsidR="00FA0852">
        <w:rPr>
          <w:rFonts w:hint="eastAsia"/>
          <w:sz w:val="20"/>
        </w:rPr>
        <w:t>the relax</w:t>
      </w:r>
      <w:r w:rsidR="00F141BF">
        <w:rPr>
          <w:rFonts w:hint="eastAsia"/>
          <w:sz w:val="20"/>
        </w:rPr>
        <w:t>ed</w:t>
      </w:r>
      <w:r w:rsidR="00FA0852">
        <w:rPr>
          <w:rFonts w:hint="eastAsia"/>
          <w:sz w:val="20"/>
        </w:rPr>
        <w:t xml:space="preserve"> measurement is not applied for LEO, and </w:t>
      </w:r>
      <w:r>
        <w:rPr>
          <w:rFonts w:hint="eastAsia"/>
          <w:sz w:val="20"/>
        </w:rPr>
        <w:t>the RAN2 understanding is correct</w:t>
      </w:r>
      <w:r w:rsidR="00FA0852">
        <w:rPr>
          <w:rFonts w:hint="eastAsia"/>
          <w:sz w:val="20"/>
        </w:rPr>
        <w:t xml:space="preserve">. </w:t>
      </w:r>
      <w:r w:rsidR="00FA0852">
        <w:rPr>
          <w:sz w:val="20"/>
        </w:rPr>
        <w:t>S</w:t>
      </w:r>
      <w:r w:rsidR="00FA0852">
        <w:rPr>
          <w:rFonts w:hint="eastAsia"/>
          <w:sz w:val="20"/>
        </w:rPr>
        <w:t xml:space="preserve">o </w:t>
      </w:r>
      <w:r w:rsidR="0080755E">
        <w:rPr>
          <w:rFonts w:hint="eastAsia"/>
          <w:sz w:val="20"/>
        </w:rPr>
        <w:t xml:space="preserve">no </w:t>
      </w:r>
      <w:r>
        <w:rPr>
          <w:rFonts w:hint="eastAsia"/>
          <w:sz w:val="20"/>
        </w:rPr>
        <w:t>feedback is needed.</w:t>
      </w:r>
    </w:p>
    <w:p w:rsidR="00E958ED" w:rsidRPr="001F6795" w:rsidRDefault="00E958ED" w:rsidP="001606B6">
      <w:pPr>
        <w:spacing w:before="0" w:after="120"/>
        <w:jc w:val="left"/>
        <w:rPr>
          <w:b/>
          <w:sz w:val="20"/>
        </w:rPr>
      </w:pPr>
      <w:r w:rsidRPr="001F6795">
        <w:rPr>
          <w:rFonts w:hint="eastAsia"/>
          <w:b/>
          <w:sz w:val="20"/>
        </w:rPr>
        <w:t xml:space="preserve">Proposal 2: </w:t>
      </w:r>
      <w:r w:rsidR="001F6795" w:rsidRPr="001F6795">
        <w:rPr>
          <w:rFonts w:hint="eastAsia"/>
          <w:b/>
          <w:sz w:val="20"/>
        </w:rPr>
        <w:t xml:space="preserve">RAN2 understanding </w:t>
      </w:r>
      <w:r w:rsidR="004852CB" w:rsidRPr="001F6795">
        <w:rPr>
          <w:rFonts w:hint="eastAsia"/>
          <w:b/>
          <w:sz w:val="20"/>
        </w:rPr>
        <w:t>in LS (</w:t>
      </w:r>
      <w:r w:rsidR="004852CB" w:rsidRPr="001F6795">
        <w:rPr>
          <w:b/>
          <w:sz w:val="20"/>
        </w:rPr>
        <w:t>R2-2210866</w:t>
      </w:r>
      <w:r w:rsidR="004852CB" w:rsidRPr="001F6795">
        <w:rPr>
          <w:rFonts w:hint="eastAsia"/>
          <w:b/>
          <w:sz w:val="20"/>
        </w:rPr>
        <w:t xml:space="preserve">) </w:t>
      </w:r>
      <w:r w:rsidR="001F6795" w:rsidRPr="001F6795">
        <w:rPr>
          <w:rFonts w:hint="eastAsia"/>
          <w:b/>
          <w:sz w:val="20"/>
        </w:rPr>
        <w:t>is correct and on feedback is needed.</w:t>
      </w:r>
    </w:p>
    <w:p w:rsidR="007C0541" w:rsidRPr="000964D2" w:rsidRDefault="007C0541"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FA0852">
        <w:rPr>
          <w:rFonts w:hint="eastAsia"/>
          <w:sz w:val="20"/>
        </w:rPr>
        <w:t>remaining</w:t>
      </w:r>
      <w:r w:rsidR="000D77A4">
        <w:rPr>
          <w:rFonts w:hint="eastAsia"/>
          <w:sz w:val="20"/>
        </w:rPr>
        <w:t xml:space="preserve"> </w:t>
      </w:r>
      <w:r w:rsidR="00C41C31">
        <w:rPr>
          <w:rFonts w:hint="eastAsia"/>
          <w:sz w:val="20"/>
        </w:rPr>
        <w:t xml:space="preserve">issues for </w:t>
      </w:r>
      <w:r w:rsidR="00FA0852">
        <w:rPr>
          <w:rFonts w:hint="eastAsia"/>
          <w:sz w:val="20"/>
        </w:rPr>
        <w:t xml:space="preserve">NTN core requirements </w:t>
      </w:r>
      <w:r>
        <w:rPr>
          <w:rFonts w:hint="eastAsia"/>
          <w:sz w:val="20"/>
        </w:rPr>
        <w:t xml:space="preserve">and presented </w:t>
      </w:r>
      <w:r w:rsidR="00787CF4">
        <w:rPr>
          <w:rFonts w:hint="eastAsia"/>
          <w:sz w:val="20"/>
        </w:rPr>
        <w:t xml:space="preserve">the </w:t>
      </w:r>
      <w:r>
        <w:rPr>
          <w:rFonts w:hint="eastAsia"/>
          <w:sz w:val="20"/>
        </w:rPr>
        <w:t>following proposals:</w:t>
      </w:r>
    </w:p>
    <w:p w:rsidR="00FA0852" w:rsidRPr="00CC127F" w:rsidRDefault="00FA0852" w:rsidP="00FA0852">
      <w:pPr>
        <w:spacing w:before="0" w:after="120"/>
        <w:jc w:val="left"/>
        <w:rPr>
          <w:b/>
          <w:sz w:val="20"/>
        </w:rPr>
      </w:pPr>
      <w:r w:rsidRPr="00CC127F">
        <w:rPr>
          <w:rFonts w:hint="eastAsia"/>
          <w:b/>
          <w:sz w:val="20"/>
        </w:rPr>
        <w:t xml:space="preserve">Proposal 1: </w:t>
      </w:r>
      <w:r w:rsidRPr="00CC127F">
        <w:rPr>
          <w:b/>
          <w:sz w:val="20"/>
        </w:rPr>
        <w:t xml:space="preserve">The requirements for handover and conditional handover </w:t>
      </w:r>
      <w:r w:rsidR="002A1DC1">
        <w:rPr>
          <w:rFonts w:hint="eastAsia"/>
          <w:b/>
          <w:sz w:val="20"/>
        </w:rPr>
        <w:t>do</w:t>
      </w:r>
      <w:bookmarkStart w:id="4" w:name="_GoBack"/>
      <w:bookmarkEnd w:id="4"/>
      <w:r>
        <w:rPr>
          <w:rFonts w:hint="eastAsia"/>
          <w:b/>
          <w:sz w:val="20"/>
        </w:rPr>
        <w:t xml:space="preserve"> not need </w:t>
      </w:r>
      <w:r w:rsidRPr="00CC127F">
        <w:rPr>
          <w:b/>
          <w:sz w:val="20"/>
        </w:rPr>
        <w:t>include this scenario, and</w:t>
      </w:r>
      <w:r w:rsidR="00B72A54">
        <w:rPr>
          <w:rFonts w:hint="eastAsia"/>
          <w:b/>
          <w:sz w:val="20"/>
        </w:rPr>
        <w:t xml:space="preserve"> the</w:t>
      </w:r>
      <w:r w:rsidRPr="00CC127F">
        <w:rPr>
          <w:b/>
          <w:sz w:val="20"/>
        </w:rPr>
        <w:t xml:space="preserve"> clarification </w:t>
      </w:r>
      <w:r w:rsidR="00B72A54" w:rsidRPr="00CC127F">
        <w:rPr>
          <w:b/>
          <w:sz w:val="20"/>
        </w:rPr>
        <w:t>can be add</w:t>
      </w:r>
      <w:r w:rsidR="00B72A54">
        <w:rPr>
          <w:rFonts w:hint="eastAsia"/>
          <w:b/>
          <w:sz w:val="20"/>
        </w:rPr>
        <w:t>ed</w:t>
      </w:r>
      <w:r w:rsidR="00B72A54" w:rsidRPr="00CC127F">
        <w:rPr>
          <w:b/>
          <w:sz w:val="20"/>
        </w:rPr>
        <w:t xml:space="preserve"> </w:t>
      </w:r>
      <w:r w:rsidRPr="00CC127F">
        <w:rPr>
          <w:b/>
          <w:sz w:val="20"/>
        </w:rPr>
        <w:t>that “If the UE needs to re-acquire ephemeris information</w:t>
      </w:r>
      <w:r w:rsidRPr="00FA0852">
        <w:rPr>
          <w:b/>
          <w:sz w:val="20"/>
        </w:rPr>
        <w:t xml:space="preserve"> for target cell</w:t>
      </w:r>
      <w:r w:rsidRPr="00CC127F">
        <w:rPr>
          <w:b/>
          <w:sz w:val="20"/>
        </w:rPr>
        <w:t xml:space="preserve"> during handover process, the handover delay and the interruption time will be extended.”</w:t>
      </w:r>
    </w:p>
    <w:p w:rsidR="005C12AD" w:rsidRPr="001F6795" w:rsidRDefault="005C12AD" w:rsidP="005C12AD">
      <w:pPr>
        <w:spacing w:before="0" w:after="120"/>
        <w:jc w:val="left"/>
        <w:rPr>
          <w:b/>
          <w:sz w:val="20"/>
        </w:rPr>
      </w:pPr>
      <w:r w:rsidRPr="001F6795">
        <w:rPr>
          <w:rFonts w:hint="eastAsia"/>
          <w:b/>
          <w:sz w:val="20"/>
        </w:rPr>
        <w:t>Proposal 2: RAN2 understanding in LS (</w:t>
      </w:r>
      <w:r w:rsidRPr="001F6795">
        <w:rPr>
          <w:b/>
          <w:sz w:val="20"/>
        </w:rPr>
        <w:t>R2-2210866</w:t>
      </w:r>
      <w:r w:rsidRPr="001F6795">
        <w:rPr>
          <w:rFonts w:hint="eastAsia"/>
          <w:b/>
          <w:sz w:val="20"/>
        </w:rPr>
        <w:t>) is correct and on feedback is needed.</w:t>
      </w:r>
    </w:p>
    <w:p w:rsidR="00FD062D" w:rsidRPr="005C12AD" w:rsidRDefault="00FD062D"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1A252B" w:rsidRPr="001A252B">
        <w:rPr>
          <w:sz w:val="20"/>
        </w:rPr>
        <w:t>R4-2217174</w:t>
      </w:r>
      <w:r w:rsidR="001A252B">
        <w:rPr>
          <w:rFonts w:hint="eastAsia"/>
          <w:sz w:val="20"/>
        </w:rPr>
        <w:t xml:space="preserve">, </w:t>
      </w:r>
      <w:r w:rsidR="001A252B" w:rsidRPr="001A252B">
        <w:rPr>
          <w:sz w:val="20"/>
        </w:rPr>
        <w:t>WF on NR NTN RRM requirements</w:t>
      </w:r>
      <w:r w:rsidR="001A252B">
        <w:rPr>
          <w:rFonts w:hint="eastAsia"/>
          <w:sz w:val="20"/>
        </w:rPr>
        <w:t xml:space="preserve">, </w:t>
      </w:r>
      <w:r w:rsidR="001A252B" w:rsidRPr="001A252B">
        <w:rPr>
          <w:sz w:val="20"/>
        </w:rPr>
        <w:t>Qualcomm Incorporated</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F44F5A" w:rsidRPr="00F44F5A">
        <w:rPr>
          <w:sz w:val="20"/>
        </w:rPr>
        <w:t>R4-2218427</w:t>
      </w:r>
      <w:r>
        <w:rPr>
          <w:rFonts w:hint="eastAsia"/>
          <w:sz w:val="20"/>
        </w:rPr>
        <w:t xml:space="preserve">, </w:t>
      </w:r>
      <w:r w:rsidR="00FA0852">
        <w:rPr>
          <w:rFonts w:hint="eastAsia"/>
          <w:sz w:val="20"/>
        </w:rPr>
        <w:t>Introducing clarification for UE acquiring system information during handover</w:t>
      </w:r>
      <w:r>
        <w:rPr>
          <w:rFonts w:hint="eastAsia"/>
          <w:sz w:val="20"/>
        </w:rPr>
        <w:t>, CATT</w:t>
      </w:r>
    </w:p>
    <w:p w:rsidR="00C67841" w:rsidRDefault="00E958ED" w:rsidP="009973FC">
      <w:pPr>
        <w:pStyle w:val="ab"/>
        <w:ind w:left="540" w:hangingChars="270" w:hanging="540"/>
        <w:rPr>
          <w:sz w:val="20"/>
        </w:rPr>
      </w:pPr>
      <w:r>
        <w:rPr>
          <w:rFonts w:hint="eastAsia"/>
          <w:sz w:val="20"/>
        </w:rPr>
        <w:t>[3]</w:t>
      </w:r>
      <w:r>
        <w:rPr>
          <w:rFonts w:hint="eastAsia"/>
          <w:sz w:val="20"/>
        </w:rPr>
        <w:tab/>
      </w:r>
      <w:r w:rsidRPr="00E958ED">
        <w:rPr>
          <w:sz w:val="20"/>
        </w:rPr>
        <w:t>R2-2210866</w:t>
      </w:r>
      <w:r>
        <w:rPr>
          <w:rFonts w:hint="eastAsia"/>
          <w:sz w:val="20"/>
        </w:rPr>
        <w:t>,</w:t>
      </w:r>
      <w:r w:rsidRPr="00E958ED">
        <w:t xml:space="preserve"> </w:t>
      </w:r>
      <w:r w:rsidRPr="00E958ED">
        <w:rPr>
          <w:sz w:val="20"/>
        </w:rPr>
        <w:t>Reply LS on enhanced cell reselection requirements</w:t>
      </w:r>
      <w:r>
        <w:rPr>
          <w:rFonts w:hint="eastAsia"/>
          <w:sz w:val="20"/>
        </w:rPr>
        <w:t>, RAN2 to RAN4</w:t>
      </w:r>
    </w:p>
    <w:p w:rsidR="00E958ED" w:rsidRPr="00E958ED" w:rsidRDefault="00E958ED" w:rsidP="009973FC">
      <w:pPr>
        <w:pStyle w:val="ab"/>
        <w:ind w:left="540" w:hangingChars="270" w:hanging="540"/>
        <w:rPr>
          <w:sz w:val="20"/>
        </w:rPr>
      </w:pPr>
    </w:p>
    <w:sectPr w:rsidR="00E958ED" w:rsidRPr="00E958E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EE2" w:rsidRDefault="00187EE2" w:rsidP="0095591C">
      <w:pPr>
        <w:spacing w:after="60"/>
        <w:ind w:left="210"/>
      </w:pPr>
      <w:r>
        <w:separator/>
      </w:r>
    </w:p>
    <w:p w:rsidR="00187EE2" w:rsidRDefault="00187EE2"/>
  </w:endnote>
  <w:endnote w:type="continuationSeparator" w:id="0">
    <w:p w:rsidR="00187EE2" w:rsidRDefault="00187EE2" w:rsidP="0095591C">
      <w:pPr>
        <w:spacing w:after="60"/>
        <w:ind w:left="210"/>
      </w:pPr>
      <w:r>
        <w:continuationSeparator/>
      </w:r>
    </w:p>
    <w:p w:rsidR="00187EE2" w:rsidRDefault="00187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A1DC1">
      <w:t>2</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EE2" w:rsidRDefault="00187EE2" w:rsidP="0095591C">
      <w:pPr>
        <w:spacing w:after="60"/>
        <w:ind w:left="210"/>
      </w:pPr>
      <w:r>
        <w:separator/>
      </w:r>
    </w:p>
    <w:p w:rsidR="00187EE2" w:rsidRDefault="00187EE2"/>
  </w:footnote>
  <w:footnote w:type="continuationSeparator" w:id="0">
    <w:p w:rsidR="00187EE2" w:rsidRDefault="00187EE2" w:rsidP="0095591C">
      <w:pPr>
        <w:spacing w:after="60"/>
        <w:ind w:left="210"/>
      </w:pPr>
      <w:r>
        <w:continuationSeparator/>
      </w:r>
    </w:p>
    <w:p w:rsidR="00187EE2" w:rsidRDefault="00187E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C0B2ED2"/>
    <w:multiLevelType w:val="hybridMultilevel"/>
    <w:tmpl w:val="B59EEB50"/>
    <w:lvl w:ilvl="0" w:tplc="04090001">
      <w:start w:val="1"/>
      <w:numFmt w:val="bullet"/>
      <w:lvlText w:val=""/>
      <w:lvlJc w:val="left"/>
      <w:pPr>
        <w:ind w:left="1496" w:hanging="360"/>
      </w:pPr>
      <w:rPr>
        <w:rFonts w:ascii="Symbol" w:hAnsi="Symbol" w:hint="default"/>
      </w:rPr>
    </w:lvl>
    <w:lvl w:ilvl="1" w:tplc="F572C4B6">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0D7E5D"/>
    <w:multiLevelType w:val="hybridMultilevel"/>
    <w:tmpl w:val="136C53A4"/>
    <w:lvl w:ilvl="0" w:tplc="04090001">
      <w:start w:val="1"/>
      <w:numFmt w:val="bullet"/>
      <w:lvlText w:val=""/>
      <w:lvlJc w:val="left"/>
      <w:pPr>
        <w:ind w:left="1496" w:hanging="360"/>
      </w:pPr>
      <w:rPr>
        <w:rFonts w:ascii="Symbol" w:hAnsi="Symbol"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80AE7"/>
    <w:multiLevelType w:val="hybridMultilevel"/>
    <w:tmpl w:val="CCEC0C06"/>
    <w:lvl w:ilvl="0" w:tplc="04090001">
      <w:start w:val="1"/>
      <w:numFmt w:val="bullet"/>
      <w:lvlText w:val=""/>
      <w:lvlJc w:val="left"/>
      <w:pPr>
        <w:ind w:left="1496" w:hanging="360"/>
      </w:pPr>
      <w:rPr>
        <w:rFonts w:ascii="Symbol" w:hAnsi="Symbol" w:hint="default"/>
      </w:rPr>
    </w:lvl>
    <w:lvl w:ilvl="1" w:tplc="7E10964E">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0"/>
  </w:num>
  <w:num w:numId="2">
    <w:abstractNumId w:val="11"/>
  </w:num>
  <w:num w:numId="3">
    <w:abstractNumId w:val="3"/>
  </w:num>
  <w:num w:numId="4">
    <w:abstractNumId w:val="26"/>
  </w:num>
  <w:num w:numId="5">
    <w:abstractNumId w:val="15"/>
  </w:num>
  <w:num w:numId="6">
    <w:abstractNumId w:val="43"/>
  </w:num>
  <w:num w:numId="7">
    <w:abstractNumId w:val="8"/>
  </w:num>
  <w:num w:numId="8">
    <w:abstractNumId w:val="29"/>
  </w:num>
  <w:num w:numId="9">
    <w:abstractNumId w:val="18"/>
  </w:num>
  <w:num w:numId="10">
    <w:abstractNumId w:val="40"/>
  </w:num>
  <w:num w:numId="11">
    <w:abstractNumId w:val="44"/>
  </w:num>
  <w:num w:numId="12">
    <w:abstractNumId w:val="45"/>
  </w:num>
  <w:num w:numId="13">
    <w:abstractNumId w:val="20"/>
  </w:num>
  <w:num w:numId="14">
    <w:abstractNumId w:val="24"/>
  </w:num>
  <w:num w:numId="15">
    <w:abstractNumId w:val="17"/>
  </w:num>
  <w:num w:numId="16">
    <w:abstractNumId w:val="39"/>
  </w:num>
  <w:num w:numId="17">
    <w:abstractNumId w:val="0"/>
  </w:num>
  <w:num w:numId="18">
    <w:abstractNumId w:val="27"/>
  </w:num>
  <w:num w:numId="19">
    <w:abstractNumId w:val="34"/>
  </w:num>
  <w:num w:numId="20">
    <w:abstractNumId w:val="37"/>
  </w:num>
  <w:num w:numId="21">
    <w:abstractNumId w:val="35"/>
  </w:num>
  <w:num w:numId="22">
    <w:abstractNumId w:val="22"/>
  </w:num>
  <w:num w:numId="23">
    <w:abstractNumId w:val="4"/>
  </w:num>
  <w:num w:numId="24">
    <w:abstractNumId w:val="46"/>
  </w:num>
  <w:num w:numId="25">
    <w:abstractNumId w:val="42"/>
  </w:num>
  <w:num w:numId="26">
    <w:abstractNumId w:val="14"/>
  </w:num>
  <w:num w:numId="27">
    <w:abstractNumId w:val="25"/>
  </w:num>
  <w:num w:numId="28">
    <w:abstractNumId w:val="28"/>
  </w:num>
  <w:num w:numId="29">
    <w:abstractNumId w:val="16"/>
  </w:num>
  <w:num w:numId="30">
    <w:abstractNumId w:val="10"/>
  </w:num>
  <w:num w:numId="31">
    <w:abstractNumId w:val="9"/>
  </w:num>
  <w:num w:numId="32">
    <w:abstractNumId w:val="1"/>
  </w:num>
  <w:num w:numId="33">
    <w:abstractNumId w:val="23"/>
  </w:num>
  <w:num w:numId="34">
    <w:abstractNumId w:val="36"/>
  </w:num>
  <w:num w:numId="35">
    <w:abstractNumId w:val="7"/>
  </w:num>
  <w:num w:numId="36">
    <w:abstractNumId w:val="41"/>
  </w:num>
  <w:num w:numId="37">
    <w:abstractNumId w:val="13"/>
  </w:num>
  <w:num w:numId="38">
    <w:abstractNumId w:val="33"/>
  </w:num>
  <w:num w:numId="39">
    <w:abstractNumId w:val="32"/>
  </w:num>
  <w:num w:numId="40">
    <w:abstractNumId w:val="2"/>
  </w:num>
  <w:num w:numId="41">
    <w:abstractNumId w:val="21"/>
  </w:num>
  <w:num w:numId="42">
    <w:abstractNumId w:val="6"/>
  </w:num>
  <w:num w:numId="43">
    <w:abstractNumId w:val="31"/>
  </w:num>
  <w:num w:numId="44">
    <w:abstractNumId w:val="38"/>
  </w:num>
  <w:num w:numId="45">
    <w:abstractNumId w:val="5"/>
  </w:num>
  <w:num w:numId="46">
    <w:abstractNumId w:val="12"/>
  </w:num>
  <w:num w:numId="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D2"/>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9F6"/>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3EC"/>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4EBA"/>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497"/>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87EE2"/>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2B"/>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6795"/>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DC1"/>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355"/>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8EB"/>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19D"/>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2CB"/>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99D"/>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97F"/>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5C"/>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2A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E4E"/>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B1A"/>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55E"/>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AA0"/>
    <w:rsid w:val="00940647"/>
    <w:rsid w:val="00940DA0"/>
    <w:rsid w:val="009412BF"/>
    <w:rsid w:val="0094149A"/>
    <w:rsid w:val="009417ED"/>
    <w:rsid w:val="009421CD"/>
    <w:rsid w:val="00942C23"/>
    <w:rsid w:val="00942CB0"/>
    <w:rsid w:val="0094342D"/>
    <w:rsid w:val="0094353D"/>
    <w:rsid w:val="009436A3"/>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2C83"/>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6CCC"/>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A2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0F5"/>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A54"/>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8C3"/>
    <w:rsid w:val="00C22E53"/>
    <w:rsid w:val="00C22EC1"/>
    <w:rsid w:val="00C238EF"/>
    <w:rsid w:val="00C23B8B"/>
    <w:rsid w:val="00C243BF"/>
    <w:rsid w:val="00C2476F"/>
    <w:rsid w:val="00C24C5D"/>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72"/>
    <w:rsid w:val="00C80890"/>
    <w:rsid w:val="00C8091F"/>
    <w:rsid w:val="00C8133F"/>
    <w:rsid w:val="00C814D4"/>
    <w:rsid w:val="00C81878"/>
    <w:rsid w:val="00C81EE1"/>
    <w:rsid w:val="00C82AA0"/>
    <w:rsid w:val="00C82C6D"/>
    <w:rsid w:val="00C84362"/>
    <w:rsid w:val="00C84A6F"/>
    <w:rsid w:val="00C84C34"/>
    <w:rsid w:val="00C84EEA"/>
    <w:rsid w:val="00C852A0"/>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27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AE3"/>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ED"/>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0879"/>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1EA0"/>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F8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14D"/>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3D2"/>
    <w:rsid w:val="00E938A6"/>
    <w:rsid w:val="00E93EC9"/>
    <w:rsid w:val="00E941AD"/>
    <w:rsid w:val="00E941D4"/>
    <w:rsid w:val="00E94531"/>
    <w:rsid w:val="00E94AAC"/>
    <w:rsid w:val="00E9514A"/>
    <w:rsid w:val="00E95362"/>
    <w:rsid w:val="00E95719"/>
    <w:rsid w:val="00E958ED"/>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ACE"/>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E7B7A"/>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1BF"/>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4F5A"/>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0852"/>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3B4BF-778A-4190-BDC0-05581A72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126</cp:revision>
  <cp:lastPrinted>2007-04-24T00:59:00Z</cp:lastPrinted>
  <dcterms:created xsi:type="dcterms:W3CDTF">2022-08-09T16:43:00Z</dcterms:created>
  <dcterms:modified xsi:type="dcterms:W3CDTF">2022-11-07T17:51:00Z</dcterms:modified>
</cp:coreProperties>
</file>